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FB9AE">
      <w:pPr>
        <w:spacing w:before="0" w:after="60" w:line="360" w:lineRule="auto"/>
        <w:jc w:val="center"/>
      </w:pPr>
      <w:r>
        <w:rPr>
          <w:rFonts w:ascii="微软雅黑" w:hAnsi="微软雅黑" w:eastAsia="微软雅黑"/>
          <w:b/>
          <w:color w:val="C9A55C"/>
          <w:sz w:val="22"/>
        </w:rPr>
        <w:t>海南方能投资顾问有限公司</w:t>
      </w:r>
    </w:p>
    <w:p w14:paraId="44AB9EE9">
      <w:pPr>
        <w:spacing w:before="0" w:after="4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40"/>
        </w:rPr>
        <w:t>医院类工程项目咨询</w:t>
      </w:r>
    </w:p>
    <w:p w14:paraId="61D98CFA">
      <w:pPr>
        <w:spacing w:before="0" w:after="12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28"/>
        </w:rPr>
        <w:t>需提供资料清单</w:t>
      </w:r>
    </w:p>
    <w:p w14:paraId="73C8845C">
      <w:pPr>
        <w:spacing w:before="0" w:after="200" w:line="360" w:lineRule="auto"/>
        <w:jc w:val="center"/>
      </w:pPr>
      <w:r>
        <w:rPr>
          <w:rFonts w:ascii="微软雅黑" w:hAnsi="微软雅黑" w:eastAsia="微软雅黑"/>
          <w:color w:val="888888"/>
          <w:sz w:val="21"/>
        </w:rPr>
        <w:t>为提高报告编制效率，请您按以下清单准备资料，并在右侧"客户填写"栏中填写对应内容。材料不齐没关系，我们提供模板并协助补齐。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3441"/>
        <w:gridCol w:w="1720"/>
        <w:gridCol w:w="1923"/>
      </w:tblGrid>
      <w:tr w14:paraId="22250AFD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055F8245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公司名称</w:t>
            </w:r>
          </w:p>
        </w:tc>
        <w:tc>
          <w:tcPr>
            <w:tcW w:w="3400" w:type="dxa"/>
            <w:shd w:val="clear" w:color="auto" w:fill="FFFFFF"/>
            <w:vAlign w:val="center"/>
          </w:tcPr>
          <w:p w14:paraId="476D70CB">
            <w:pPr>
              <w:spacing w:before="0" w:after="0" w:line="360" w:lineRule="auto"/>
              <w:jc w:val="left"/>
            </w:pPr>
          </w:p>
        </w:tc>
        <w:tc>
          <w:tcPr>
            <w:tcW w:w="1700" w:type="dxa"/>
            <w:shd w:val="clear" w:color="auto" w:fill="1A2A4A"/>
            <w:vAlign w:val="center"/>
          </w:tcPr>
          <w:p w14:paraId="0583E062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联系人/电话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0E2C4811">
            <w:pPr>
              <w:spacing w:before="0" w:after="0" w:line="360" w:lineRule="auto"/>
              <w:jc w:val="left"/>
            </w:pPr>
          </w:p>
        </w:tc>
      </w:tr>
    </w:tbl>
    <w:p w14:paraId="518BB90D">
      <w:pPr>
        <w:spacing w:before="0" w:after="120" w:line="360" w:lineRule="auto"/>
        <w:jc w:val="left"/>
      </w:pPr>
    </w:p>
    <w:tbl>
      <w:tblPr>
        <w:tblStyle w:val="2"/>
        <w:tblW w:w="9200" w:type="dxa"/>
        <w:jc w:val="center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890"/>
        <w:gridCol w:w="3372"/>
        <w:gridCol w:w="4938"/>
      </w:tblGrid>
      <w:tr w14:paraId="51286107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890" w:type="dxa"/>
            <w:tcBorders>
              <w:top w:val="single" w:color="1A2A4A" w:themeColor="accent1" w:sz="6" w:space="0"/>
              <w:left w:val="nil"/>
              <w:bottom w:val="nil"/>
              <w:right w:val="nil"/>
            </w:tcBorders>
            <w:shd w:val="clear" w:color="auto" w:fill="1A2A4A" w:themeFill="accent1"/>
            <w:vAlign w:val="center"/>
          </w:tcPr>
          <w:p w14:paraId="6D2CA3B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序号</w:t>
            </w:r>
          </w:p>
        </w:tc>
        <w:tc>
          <w:tcPr>
            <w:tcW w:w="3372" w:type="dxa"/>
            <w:tcBorders>
              <w:top w:val="single" w:color="1A2A4A" w:themeColor="accent1" w:sz="6" w:space="0"/>
              <w:left w:val="nil"/>
              <w:bottom w:val="nil"/>
              <w:right w:val="nil"/>
            </w:tcBorders>
            <w:shd w:val="clear" w:color="auto" w:fill="1A2A4A" w:themeFill="accent1"/>
            <w:vAlign w:val="center"/>
          </w:tcPr>
          <w:p w14:paraId="0521CBC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资料项目</w:t>
            </w:r>
          </w:p>
        </w:tc>
        <w:tc>
          <w:tcPr>
            <w:tcW w:w="4938" w:type="dxa"/>
            <w:tcBorders>
              <w:top w:val="single" w:color="1A2A4A" w:themeColor="accent1" w:sz="6" w:space="0"/>
              <w:left w:val="nil"/>
              <w:bottom w:val="nil"/>
              <w:right w:val="nil"/>
            </w:tcBorders>
            <w:shd w:val="clear" w:color="auto" w:fill="1A2A4A" w:themeFill="accent1"/>
            <w:vAlign w:val="center"/>
          </w:tcPr>
          <w:p w14:paraId="2162509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客户填写</w:t>
            </w:r>
          </w:p>
        </w:tc>
      </w:tr>
      <w:tr w14:paraId="3E60E4C7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3D25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C3F3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项目基本情况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BDD44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项目的由来：</w:t>
            </w:r>
          </w:p>
          <w:p w14:paraId="61F4B777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规划用地面积：</w:t>
            </w:r>
          </w:p>
          <w:p w14:paraId="023A3333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建设内容及规模：</w:t>
            </w:r>
          </w:p>
        </w:tc>
      </w:tr>
      <w:tr w14:paraId="4D061EDF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5A10665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2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2962E9C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项目业主情况简介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7D1160A9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成立时间：</w:t>
            </w:r>
            <w:bookmarkStart w:id="0" w:name="_GoBack"/>
            <w:bookmarkEnd w:id="0"/>
          </w:p>
          <w:p w14:paraId="27B5991F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注册资本：</w:t>
            </w:r>
          </w:p>
          <w:p w14:paraId="7BAEFD96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发展业绩：</w:t>
            </w:r>
          </w:p>
          <w:p w14:paraId="739FE5F9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机构设置及人员配置：</w:t>
            </w:r>
          </w:p>
        </w:tc>
      </w:tr>
      <w:tr w14:paraId="5458B80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A2B7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3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D14E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项目选址意见书及地质勘探资料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098DF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1B6959BA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1858B98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4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42E31B1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项目总平面规划布置图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13BF5AEE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规划设计说明：</w:t>
            </w:r>
          </w:p>
        </w:tc>
      </w:tr>
      <w:tr w14:paraId="67A9B149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84BE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5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922F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建设用地现状或附图说明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E6343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54DAA7C7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4D2C284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6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5F8D0A4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项目建设所处的区域位置图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6B63AEC0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5DA26200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34F4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7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BB6D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用地红线图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A8B8E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36507E1B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1354BDF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8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08B533F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项目建设内容及进度安排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228AE8B9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裙楼功能划分：</w:t>
            </w:r>
          </w:p>
          <w:p w14:paraId="6ABACD13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各划分区域建筑面积：</w:t>
            </w:r>
          </w:p>
          <w:p w14:paraId="04A5DECB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床位、医疗单位及医技科室：</w:t>
            </w:r>
          </w:p>
          <w:p w14:paraId="265154F6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项目定员：</w:t>
            </w:r>
          </w:p>
          <w:p w14:paraId="2798B80D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进度安排：</w:t>
            </w:r>
          </w:p>
        </w:tc>
      </w:tr>
      <w:tr w14:paraId="56AE2E4B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21A3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9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BFE6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原医院门诊及住院年度统计数据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CC083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7976F4E0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75897DA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10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03E0845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配套设施及医疗救护设备购置清单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28CB7A80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购置费用数据：</w:t>
            </w:r>
          </w:p>
          <w:p w14:paraId="7F88C6EE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安装费用数据：</w:t>
            </w:r>
          </w:p>
        </w:tc>
      </w:tr>
      <w:tr w14:paraId="1FF841B6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02FF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11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2B90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市政基础设施资料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2B483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供配电：</w:t>
            </w:r>
          </w:p>
          <w:p w14:paraId="57C9B550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给排水：</w:t>
            </w:r>
          </w:p>
        </w:tc>
      </w:tr>
      <w:tr w14:paraId="6362FE05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29759BA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12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5638108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资金筹措方式</w:t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13386C7C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781FD991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nil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5B51979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13</w:t>
            </w:r>
          </w:p>
        </w:tc>
        <w:tc>
          <w:tcPr>
            <w:tcW w:w="3372" w:type="dxa"/>
            <w:tcBorders>
              <w:top w:val="nil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0FC7EEB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项目贷款与偿还计划表</w:t>
            </w:r>
          </w:p>
        </w:tc>
        <w:tc>
          <w:tcPr>
            <w:tcW w:w="4938" w:type="dxa"/>
            <w:tcBorders>
              <w:top w:val="nil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2C6231D5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6C1F126B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90" w:type="dxa"/>
            <w:tcBorders>
              <w:top w:val="single" w:color="1A2A4A" w:themeColor="accent1" w:sz="6" w:space="0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293D7EF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14</w:t>
            </w:r>
          </w:p>
        </w:tc>
        <w:tc>
          <w:tcPr>
            <w:tcW w:w="3372" w:type="dxa"/>
            <w:tcBorders>
              <w:top w:val="single" w:color="1A2A4A" w:themeColor="accent1" w:sz="6" w:space="0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454B9D0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经济评价基础资料</w:t>
            </w:r>
          </w:p>
        </w:tc>
        <w:tc>
          <w:tcPr>
            <w:tcW w:w="4938" w:type="dxa"/>
            <w:tcBorders>
              <w:top w:val="single" w:color="1A2A4A" w:themeColor="accent1" w:sz="6" w:space="0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60437B9F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如需作经济评价时提供：</w:t>
            </w:r>
          </w:p>
        </w:tc>
      </w:tr>
    </w:tbl>
    <w:p w14:paraId="136A4F65">
      <w:pPr>
        <w:spacing w:before="360" w:after="120" w:line="360" w:lineRule="auto"/>
        <w:jc w:val="left"/>
      </w:pPr>
      <w:r>
        <w:rPr>
          <w:rFonts w:ascii="微软雅黑" w:hAnsi="微软雅黑" w:eastAsia="微软雅黑"/>
          <w:b/>
          <w:color w:val="1A2A4A"/>
          <w:sz w:val="24"/>
        </w:rPr>
        <w:t>备注</w:t>
      </w:r>
    </w:p>
    <w:p w14:paraId="4603B1E7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1、另附相关的政策文件、政府公文及座谈会议纪要等文字材料作为附件依据。</w:t>
      </w:r>
    </w:p>
    <w:p w14:paraId="1BC14D9F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2、对于新建项目或对相关信息不能做出正确答复的，请咨询我公司进行解决。</w:t>
      </w:r>
    </w:p>
    <w:p w14:paraId="0E8CB356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3、以上材料提供复印件或电子版均可，涉密资料可签订保密协议。</w:t>
      </w:r>
    </w:p>
    <w:p w14:paraId="0E51F024">
      <w:pPr>
        <w:spacing w:before="0" w:after="24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4、如部分材料暂时无法提供，可先提交已有材料，我们将协助您逐步补齐。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7084"/>
      </w:tblGrid>
      <w:tr w14:paraId="051F9DC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5FAA9BDE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咨询电话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42029C7B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18589666335 / 13876690035（微信同号）</w:t>
            </w:r>
          </w:p>
        </w:tc>
      </w:tr>
      <w:tr w14:paraId="3BCAAEB9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6412C336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官方网站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01C9F3B6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www.yangcc.com</w:t>
            </w:r>
          </w:p>
        </w:tc>
      </w:tr>
    </w:tbl>
    <w:p w14:paraId="0F88EC03">
      <w:pPr>
        <w:spacing w:before="360" w:after="120" w:line="360" w:lineRule="auto"/>
        <w:jc w:val="center"/>
      </w:pPr>
      <w:r>
        <w:rPr>
          <w:rFonts w:ascii="微软雅黑" w:hAnsi="微软雅黑" w:eastAsia="微软雅黑"/>
          <w:color w:val="888888"/>
          <w:sz w:val="18"/>
        </w:rPr>
        <w:t>海南方能投资 · 15年行业经验 · 服务1500+项目</w:t>
      </w:r>
    </w:p>
    <w:sectPr>
      <w:pgSz w:w="11906" w:h="16838"/>
      <w:pgMar w:top="1134" w:right="1418" w:bottom="1134" w:left="1418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1405F5"/>
    <w:rsid w:val="19393A07"/>
    <w:rsid w:val="27F76F67"/>
    <w:rsid w:val="3F23643C"/>
    <w:rsid w:val="43BD6F1D"/>
    <w:rsid w:val="6B0A20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微软雅黑" w:eastAsia="微软雅黑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A2A4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560</Words>
  <Characters>603</Characters>
  <TotalTime>3</TotalTime>
  <ScaleCrop>false</ScaleCrop>
  <LinksUpToDate>false</LinksUpToDate>
  <CharactersWithSpaces>609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2026-08-20T06:31:13Z</dcterms:created>
  <dc:creator>Administrator</dc:creator>
  <cp:lastModifiedBy>方能投资</cp:lastModifiedBy>
  <dcterms:modified xsi:type="dcterms:W3CDTF">2026-08-20T06:36:52Z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eyJoZGlkIjoiYWNkNzFiMjAxNmY3YmNjZjBlNzdmZmZlNmIyMmNjMjYiLCJ1c2VySWQiOiIyNDkxMjM2ODkifQ==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0B0E0AC45935448EB6F1BDB1E7661E1D_13</vt:lpwstr>
  </property>
</Properties>
</file>